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76" w:lineRule="auto"/>
        <w:jc w:val="center"/>
      </w:pPr>
      <w:r>
        <w:rPr>
          <w:rFonts w:ascii="Times New Roman" w:hAnsi="Times New Roman" w:eastAsia="Times New Roman"/>
          <w:b/>
          <w:i w:val="0"/>
          <w:sz w:val="32"/>
        </w:rPr>
        <w:t>Памятка</w:t>
      </w:r>
    </w:p>
    <w:p>
      <w:pPr>
        <w:spacing w:after="240" w:before="0" w:line="276" w:lineRule="auto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Какие документы по имуществу собрать до подачи заявления о банкротстве</w:t>
      </w:r>
    </w:p>
    <w:p>
      <w:pPr>
        <w:spacing w:after="240" w:before="0" w:line="276" w:lineRule="auto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Финансовый управляющий сам запросит Росреестр, ГИБДД, банки и налоговую. Ваша задача — заранее собрать то, что объясняет происхождение имущества, режим собственности и спорные сделки. Ниже — рабочий чек-лист.</w:t>
      </w:r>
    </w:p>
    <w:p>
      <w:pPr>
        <w:spacing w:after="80" w:before="0" w:line="276" w:lineRule="auto"/>
      </w:pPr>
      <w:r>
        <w:rPr>
          <w:rFonts w:ascii="Times New Roman" w:hAnsi="Times New Roman" w:eastAsia="Times New Roman"/>
          <w:b/>
          <w:i w:val="0"/>
          <w:sz w:val="24"/>
        </w:rPr>
        <w:t>1. Недвижимость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выписки ЕГРН на все объекты (жильё, дача, гараж, участок, доли);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договоры купли-продажи / дарения / мены / приватизации;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свидетельство о праве на наследство;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кредитный / ипотечный договор и справка об остатке долга;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подтверждение, что жильё единственное (если это важно для вашей позиции).</w:t>
      </w:r>
    </w:p>
    <w:p>
      <w:pPr>
        <w:spacing w:after="120" w:before="0" w:line="276" w:lineRule="auto"/>
      </w:pPr>
    </w:p>
    <w:p>
      <w:pPr>
        <w:spacing w:after="80" w:before="0" w:line="276" w:lineRule="auto"/>
      </w:pPr>
      <w:r>
        <w:rPr>
          <w:rFonts w:ascii="Times New Roman" w:hAnsi="Times New Roman" w:eastAsia="Times New Roman"/>
          <w:b/>
          <w:i w:val="0"/>
          <w:sz w:val="24"/>
        </w:rPr>
        <w:t>2. Транспорт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ПТС / СТС, договор купли-продажи;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если продавали — расчёт и куда ушли деньги;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для машины по инвалидности — документы, подтверждающие необходимость.</w:t>
      </w:r>
    </w:p>
    <w:p>
      <w:pPr>
        <w:spacing w:after="120" w:before="0" w:line="276" w:lineRule="auto"/>
      </w:pPr>
    </w:p>
    <w:p>
      <w:pPr>
        <w:spacing w:after="80" w:before="0" w:line="276" w:lineRule="auto"/>
      </w:pPr>
      <w:r>
        <w:rPr>
          <w:rFonts w:ascii="Times New Roman" w:hAnsi="Times New Roman" w:eastAsia="Times New Roman"/>
          <w:b/>
          <w:i w:val="0"/>
          <w:sz w:val="24"/>
        </w:rPr>
        <w:t>3. Деньги и счета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список всех счетов и карт (включая «забытые»);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выписки за 3 года или хотя бы за последний год;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справки о вкладах, брокерских счетах, электронных кошельках.</w:t>
      </w:r>
    </w:p>
    <w:p>
      <w:pPr>
        <w:spacing w:after="120" w:before="0" w:line="276" w:lineRule="auto"/>
      </w:pPr>
    </w:p>
    <w:p>
      <w:pPr>
        <w:spacing w:after="80" w:before="0" w:line="276" w:lineRule="auto"/>
      </w:pPr>
      <w:r>
        <w:rPr>
          <w:rFonts w:ascii="Times New Roman" w:hAnsi="Times New Roman" w:eastAsia="Times New Roman"/>
          <w:b/>
          <w:i w:val="0"/>
          <w:sz w:val="24"/>
        </w:rPr>
        <w:t>4. Супруг и семейный режим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свидетельство о браке / расторжении;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брачный договор, соглашение о разделе;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документы на личное имущество супруга (до брака, наследство, дар) — ст. 36 СК РФ;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подтверждение, что объект куплен в браке на общие деньги — ст. 34 СК РФ.</w:t>
      </w:r>
    </w:p>
    <w:p>
      <w:pPr>
        <w:spacing w:after="120" w:before="0" w:line="276" w:lineRule="auto"/>
      </w:pPr>
    </w:p>
    <w:p>
      <w:pPr>
        <w:spacing w:after="80" w:before="0" w:line="276" w:lineRule="auto"/>
      </w:pPr>
      <w:r>
        <w:rPr>
          <w:rFonts w:ascii="Times New Roman" w:hAnsi="Times New Roman" w:eastAsia="Times New Roman"/>
          <w:b/>
          <w:i w:val="0"/>
          <w:sz w:val="24"/>
        </w:rPr>
        <w:t>5. Имущество и выплаты детей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договор вклада / дарения / наследства на имя ребёнка;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справка СФР о назначенных пособиях;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основание поступления денег на детский счёт.</w:t>
      </w:r>
    </w:p>
    <w:p>
      <w:pPr>
        <w:spacing w:after="120" w:before="0" w:line="276" w:lineRule="auto"/>
      </w:pPr>
    </w:p>
    <w:p>
      <w:pPr>
        <w:spacing w:after="80" w:before="0" w:line="276" w:lineRule="auto"/>
      </w:pPr>
      <w:r>
        <w:rPr>
          <w:rFonts w:ascii="Times New Roman" w:hAnsi="Times New Roman" w:eastAsia="Times New Roman"/>
          <w:b/>
          <w:i w:val="0"/>
          <w:sz w:val="24"/>
        </w:rPr>
        <w:t>6. Сделки за три года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полный список: продажа, дарение, раздел, отказ от наследства, выход из ООО;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доказательства расчётов и рыночной цены;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заполненная «Таблица сделок за три года» (отдельный файл).</w:t>
      </w:r>
    </w:p>
    <w:p>
      <w:pPr>
        <w:spacing w:after="120" w:before="0" w:line="276" w:lineRule="auto"/>
      </w:pPr>
    </w:p>
    <w:p>
      <w:pPr>
        <w:spacing w:after="80" w:before="0" w:line="276" w:lineRule="auto"/>
      </w:pPr>
      <w:r>
        <w:rPr>
          <w:rFonts w:ascii="Times New Roman" w:hAnsi="Times New Roman" w:eastAsia="Times New Roman"/>
          <w:b/>
          <w:i w:val="0"/>
          <w:sz w:val="24"/>
        </w:rPr>
        <w:t>7. Что можно исключить из массы ходатайством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документы на аренду жилья, лечение, проезд к работе;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обоснование суммы свыше прожиточного минимума;</w:t>
      </w:r>
    </w:p>
    <w:p>
      <w:pPr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☐  для вещей до 10 000 ₽ — п. 2 ст. 213.25 Закона № 127-ФЗ.</w:t>
      </w:r>
    </w:p>
    <w:p>
      <w:pPr>
        <w:spacing w:after="120" w:before="0" w:line="276" w:lineRule="auto"/>
      </w:pPr>
    </w:p>
    <w:p>
      <w:pPr>
        <w:spacing w:after="80" w:before="0" w:line="276" w:lineRule="auto"/>
      </w:pPr>
      <w:r>
        <w:rPr>
          <w:rFonts w:ascii="Times New Roman" w:hAnsi="Times New Roman" w:eastAsia="Times New Roman"/>
          <w:b/>
          <w:i w:val="0"/>
          <w:sz w:val="24"/>
        </w:rPr>
        <w:t>Коротко</w:t>
      </w:r>
    </w:p>
    <w:p>
      <w:pPr>
        <w:spacing w:after="200" w:before="0" w:line="276" w:lineRule="auto"/>
        <w:jc w:val="both"/>
      </w:pPr>
      <w:r>
        <w:rPr>
          <w:rFonts w:ascii="Times New Roman" w:hAnsi="Times New Roman" w:eastAsia="Times New Roman"/>
          <w:b w:val="0"/>
          <w:i w:val="0"/>
          <w:sz w:val="20"/>
        </w:rPr>
        <w:t>Защищено по умолчанию — единственное жильё (не ипотека), обычный обиход, прожиточный минимум, детские пособия/алименты/маткапитал (ст. 446 ГПК РФ, ст. 101 Закона № 229-ФЗ). Под удар — вторая недвижимость, автомобиль, залог, доли/вклады и доход выше минимума.</w:t>
      </w:r>
    </w:p>
    <w:p>
      <w:r>
        <w:rPr>
          <w:rFonts w:ascii="Times New Roman" w:hAnsi="Times New Roman" w:eastAsia="Times New Roman"/>
          <w:b w:val="0"/>
          <w:i/>
          <w:color w:val="555555"/>
          <w:sz w:val="18"/>
        </w:rPr>
        <w:t>Учебная памятка адвоката Игоря Полицаева. Не заменяет разбор конкретной ситуации по документам.</w:t>
      </w:r>
    </w:p>
    <w:sectPr w:rsidR="00FC693F" w:rsidRPr="0006063C" w:rsidSect="00034616">
      <w:pgSz w:w="12240" w:h="15840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