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ТИПОВОЙ ПРОЕКТ ОТДЕЛЬНОГО МИРОВОГО СОГЛАШЕНИЯ</w:t>
      </w:r>
    </w:p>
    <w:p>
      <w:r>
        <w:t>По делу № А70-12345/2025 Арбитражного суда Тюменской области (ст. 213.10-1 Закона № 127-ФЗ)</w:t>
      </w:r>
    </w:p>
    <w:p>
      <w:r>
        <w:t>г. Тюмень                                                    «___» __________ 2026 г.</w:t>
        <w:br/>
        <w:br/>
        <w:t>ПАО Сбербанк (далее — «Банк»), в лице представителя по доверенности, с одной стороны,</w:t>
        <w:br/>
        <w:t>Иванов Иван Иванович (далее — «Должник»), с другой стороны,</w:t>
        <w:br/>
        <w:t>Иванов Сергей Иванович (далее — «Третье лицо» / «Плательщик»), с третьей стороны,</w:t>
        <w:br/>
        <w:t>и Финансовый управляющий Смирнов Алексей Петрович,</w:t>
        <w:br/>
        <w:t>руководствуясь ст. 138-141 АПК РФ и ст. 213.10-1 Закона № 127-ФЗ «О несостоятельности (банкротстве)», заключили настоящее мировое соглашение о нижеследующем:</w:t>
        <w:br/>
        <w:br/>
        <w:t>1. ПРЕДМЕТ СОГЛАШЕНИЯ</w:t>
        <w:br/>
        <w:t>1.1. Предметом соглашения является урегулирование обязательств по Кредитному договору № 12345678 от 15.03.2023, обеспеченному залогом квартиры по адресу: г. Тюмень, ул. Республики, д. 100, кв. 25, кадастровый номер 72:23:0101001:1234 (единственное жилье Должника).</w:t>
        <w:br/>
        <w:t>1.2. Стороны подтверждают остаток ссудной задолженности в размере 3 500 000 руб. 00 коп.</w:t>
        <w:br/>
        <w:br/>
        <w:t>2. ПОРЯДОК И ГРАФИК ПОГАШЕНИЯ</w:t>
        <w:br/>
        <w:t>2.1. Исполнение обязательств возлагается на Третье лицо (Иванова С.И.).</w:t>
        <w:br/>
        <w:t>2.2. Ежемесячный платеж составляет 32 000 руб. 00 коп. в соответствии с графиком.</w:t>
        <w:br/>
        <w:t>2.3. В течение 1 месяца с даты утверждения соглашения Третье лицо обязуется погасить накопленные ретроспективные платежи и компенсировать расходы по госпошлине в размере 42 500 руб.</w:t>
        <w:br/>
        <w:br/>
        <w:t>3. ЗАКЛЮЧИТЕЛЬНЫЕ ПОЛОЖЕНИЯ</w:t>
        <w:br/>
        <w:t>3.1. Квартира исключается из конкурсной массы Должника и реализации на торгах не подлежит.</w:t>
        <w:br/>
        <w:t>3.2. Соглашение вступает в силу с момента утверждения Арбитражным судом.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